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</w:p>
    <w:p>
      <w:pPr>
        <w:spacing w:after="40"/>
        <w:jc w:val="center"/>
      </w:pPr>
      <w:r>
        <w:rPr>
          <w:rFonts w:ascii="Aptos" w:hAnsi="Aptos"/>
          <w:b/>
          <w:sz w:val="30"/>
        </w:rPr>
        <w:t>Шаблон опросного листа для подключения услуги</w:t>
      </w:r>
    </w:p>
    <w:p>
      <w:pPr>
        <w:spacing w:after="160"/>
        <w:jc w:val="center"/>
      </w:pPr>
      <w:r>
        <w:rPr>
          <w:rFonts w:ascii="Aptos" w:hAnsi="Aptos"/>
          <w:b/>
          <w:sz w:val="22"/>
        </w:rPr>
        <w:t>GRE-туннель, арендованные адреса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5839"/>
      </w:tblGrid>
      <w:tr>
        <w:tc>
          <w:tcPr>
            <w:tcW w:type="dxa" w:w="9694"/>
            <w:gridSpan w:val="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2F4F7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Бланк заказа № ___ от «__» ___________ 20 __ г.</w:t>
            </w:r>
          </w:p>
        </w:tc>
      </w:tr>
      <w:tr>
        <w:tc>
          <w:tcPr>
            <w:tcW w:type="dxa" w:w="9694"/>
            <w:gridSpan w:val="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2F4F7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К договору № ___ от «__» ___________ 20 __ г.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Описание услуги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Фильтрация L3-L4 трафика с выделением «публичных IP адресов»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Клиент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Имя клиента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Точка предоставления услуги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«г. Москва ул. Дом, корпус»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Адрес для построения туннеля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Белый /32 адрес для построения GRE-туннеля, не может быть из диапазона защищаемых адресов, не выделяется от Servicepipe.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AS Servicepipe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AS 201706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Необходимое количество IPv4 адресов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Количество адресов, которые будут выделены клиенту для оказания услуги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Таблица маршрутизации, анонсируемая клиенту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default route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default + full-view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default + light-view (default и сети AS-SERVICEPIPE)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Требование по резервированию на 2-х пограничных маршрутизаторах (доп. BGP сессия) Default = да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да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нет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Запрашиваемая полоса пропускания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Указать требуемую полосу (возможен вариант commit + burst)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Комментарии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before="200" w:after="0"/>
      </w:pPr>
      <w:r>
        <w:rPr>
          <w:rFonts w:ascii="Aptos" w:hAnsi="Aptos"/>
          <w:sz w:val="19"/>
        </w:rPr>
        <w:t>Услуга фильтрации с арендой адресов предоставляется путем организации BGP сессии между партнёром Servicepipe и клиентом, клиент использует серый номер автономной системы и анонсирует выделенные адреса.</w:t>
      </w:r>
    </w:p>
    <w:sectPr w:rsidR="00FC693F" w:rsidRPr="0006063C" w:rsidSect="00034616">
      <w:pgSz w:w="12240" w:h="15840"/>
      <w:pgMar w:top="567" w:right="709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